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Diócesis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Nueva Jersey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Sermón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línea</w:t>
      </w:r>
      <w:proofErr w:type="spellEnd"/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19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Pentecostés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- 22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propio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B - 3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octubre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2021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1: 1-4, 2: 5-12; San Marcos 10: 2-16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Predicador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: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reverendo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William H. Stokes,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obispo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Nueva Jersey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nombre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del Padre y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y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Espíritu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Santo.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amén</w:t>
      </w:r>
      <w:proofErr w:type="spellEnd"/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Hace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tiempo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Dios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nuestros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antepasados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​​de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diversas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formas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profetas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pero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estos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últimos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días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ha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hablado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un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. </w:t>
      </w:r>
      <w:r w:rsidRPr="00C7542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1: 1).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> 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son las palabras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iniciales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carta del Nuevo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Testamento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Me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capturan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palabras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iniciales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Espero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capturen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inspiren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llamada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"carta"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sermón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letra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  <w:bookmarkStart w:id="0" w:name="_ednref1"/>
      <w:bookmarkEnd w:id="0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"_edn1"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[1]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exhortación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magistral de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anónimo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destinada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"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fortalecer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flaquea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alentar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esperanza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salvación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prometida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Dios".</w:t>
      </w:r>
      <w:bookmarkStart w:id="1" w:name="_ednref2"/>
      <w:bookmarkEnd w:id="1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"_edn2"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[2] La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esperanza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que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declara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"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y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exacta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Dios" </w:t>
      </w:r>
      <w:r w:rsidRPr="00C7542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1: 3). Si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conocer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Dios,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saber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saber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qué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trata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insta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Jesús.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ahí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La Carta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Colosenses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eco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diciendo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Jesús: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imagen del Dios invisible,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primogénito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creación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;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porque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fueron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creadas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tierra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visibles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 invisibles,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sean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tronos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o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dominios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o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gobernantes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o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potestades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… </w:t>
      </w:r>
      <w:r w:rsidRPr="00C7542B">
        <w:rPr>
          <w:rFonts w:ascii="Times New Roman" w:eastAsia="Times New Roman" w:hAnsi="Times New Roman" w:cs="Times New Roman"/>
          <w:color w:val="000000"/>
        </w:rPr>
        <w:t>(Col. 1:15 - 16).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Colosenses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afirma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: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Porque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Jesús,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quiso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habitar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plenitud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Dios,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Dios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quiso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reconciliar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consigo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ya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sea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tierra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o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haciendo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paz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mediante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sangre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cruz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. ” </w:t>
      </w:r>
      <w:r w:rsidRPr="00C7542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Colosenses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1: 19-20).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Nuevamente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Dios,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sepa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Dios, mire a Jesús.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sorprendente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afirmaciones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similares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hechas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Colosenses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“El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resplandor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emana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luz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lleva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imagen de Dios tan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claramente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moneda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lleva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imagen del dado que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estampa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observa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erudito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bíblico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David A.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deSilva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pasaje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  <w:bookmarkStart w:id="2" w:name="_ednref3"/>
      <w:bookmarkEnd w:id="2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"_edn3"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[3]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 xml:space="preserve"> “El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núcleo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sermón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[del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]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exposición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persona,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carácter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logros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modelo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, Jesús”.</w:t>
      </w:r>
      <w:bookmarkStart w:id="3" w:name="_ednref4"/>
      <w:bookmarkEnd w:id="3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"_edn4"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[4]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dirigido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iglesia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hoy,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luchando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muchos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niveles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deSilva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escribe: “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creyentes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enfrentado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gran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cantidad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vergüenza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hostilidad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vecinos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quienes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desaprueban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retirada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actividades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religiosas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sociales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ciudad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(10: 32-34), y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presión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no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(12: 4; 13: 3). Los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continuos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ataques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al honor,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posición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económica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personas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creyentes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afectando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compromiso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individual.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dejado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identificarse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completo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grupo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cristiano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(10:25);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existe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peligro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puedan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alejándose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" (2: 1), "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alejándose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" (3:12) y,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"no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alcanzando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"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buen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fin que Dios ha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prometido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aquellos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permanecen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fieles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(4: 1, 11; 12:15) ".</w:t>
      </w:r>
      <w:bookmarkStart w:id="4" w:name="_ednref5"/>
      <w:bookmarkEnd w:id="4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"_edn5"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[5]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Conocemos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COVID19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consumista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polarizado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dividido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secularizado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violento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a menudo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hostil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conocemos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aquellos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desviado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", "se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apartado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". Lo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escucho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... "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perdido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..." "Nos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preguntamos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volverán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".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apartada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miedo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odio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prevalecen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hoy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día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Una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cacofonía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voces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realidades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ha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alejado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muchas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personas de Jesús y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¿A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quién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escuchando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? ¿A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quién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siguen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?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lastRenderedPageBreak/>
        <w:t xml:space="preserve">Como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Iglesia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bautizados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llamado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escuchar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sola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honor para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seguir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Señor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Jesús,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el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único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y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exacta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filósofo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teólogo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Romano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murió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casi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exactamente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53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años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el 1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octubre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1968,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observó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: “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[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]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archienemigo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salvación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y [Jesús], el Pastor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debe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luchar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ante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con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- para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". </w:t>
      </w:r>
      <w:r w:rsidRPr="00C7542B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observación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astuta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Cuán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menudo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terquedad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voluntad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pecaminosidad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miedo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ideologías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principales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obstáculos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relaciones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entre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con Dios.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Cuán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menudo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interponen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camino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felicidad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satisfacción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interponen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camino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mismos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Mientras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enseñaba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universidad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Berlín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década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1930,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nació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Italia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Alemania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criticó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abiertamente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Adolph Hitler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despedido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puesto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nazis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Como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informa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Robert Ellsberg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libro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>Blessed Among Us </w:t>
      </w:r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usó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retiro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forzado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"para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escribir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libros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luego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hablaron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apetitos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espirituales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posguerra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".</w:t>
      </w:r>
      <w:bookmarkStart w:id="5" w:name="_ednref6"/>
      <w:bookmarkEnd w:id="5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"_edn6"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[6]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 xml:space="preserve"> Los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escritos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posguerra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muy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influyentes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círculos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católicos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tuvieron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impacto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Joseph Ratzinger,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convirtió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Papa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Benedicto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XVI,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Jorge Mario Bergoglio,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Papa Francisco.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libro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Forward to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,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Señor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, el </w:t>
      </w:r>
      <w:r w:rsidRPr="00C7542B">
        <w:rPr>
          <w:rFonts w:ascii="Times New Roman" w:eastAsia="Times New Roman" w:hAnsi="Times New Roman" w:cs="Times New Roman"/>
          <w:color w:val="000000"/>
        </w:rPr>
        <w:t xml:space="preserve">Papa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Benedicto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XVI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resumió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con palabras que son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relevantes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para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actual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relevantes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Benedicto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XVI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escribió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: “Como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enseña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esencia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cristianismo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idea,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pensamiento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plan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acción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esencia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cristianismo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Persona: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Aquello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esencial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Aquel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esencial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Convertirse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verdaderamente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real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llegar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conocer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”.</w:t>
      </w:r>
      <w:bookmarkStart w:id="6" w:name="_ednref7"/>
      <w:bookmarkEnd w:id="6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"_edn7"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[7]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 xml:space="preserve"> "La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esencia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cristianismo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persona,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...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Convertirse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verdaderamente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real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llegar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conocer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".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Hace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tiempo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Dios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nuestros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antepasados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​​de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diversas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formas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profetas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pero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estos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últimos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días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ha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hablado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un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nombró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heredero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cual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también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creó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mundos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y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exacta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propio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Dios,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sostiene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poderosa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palabra </w:t>
      </w:r>
      <w:r w:rsidRPr="00C7542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1: 1-3).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sostiene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poderosa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palabra.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incluyéndonos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Verbo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Verbo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carne (Juan 1:14),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aquel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plenitud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Dios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complace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morar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(Col. 1: 190. Si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saber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qué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Jesús. Si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quieres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saber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actúa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Jesús. Si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queremos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saber lo que Dios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desea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Jesús, </w:t>
      </w:r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y la exacta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...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 xml:space="preserve">“Jesús no era un Superman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frío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”, escribe Romano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“era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cualquiera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Totalmente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puro, no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debilitado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mal, era amoroso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abierto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hasta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médula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Su ardor,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sensibilidad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poder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capacidad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alegría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dolor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ilimitados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que le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sucedió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sucedió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inmensidad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divinidad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”.</w:t>
      </w:r>
      <w:bookmarkStart w:id="7" w:name="_ednref8"/>
      <w:bookmarkEnd w:id="7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"_edn8"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[8]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Dios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ha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hablado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través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Dios,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exacta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propio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sostiene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palabra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poderosa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,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sostiene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incluyéndote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 Jesús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sufrió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murió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murió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para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darnos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ejemplo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puro,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sacrificado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desinteresado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rechazó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absolutamente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odio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rechazó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absolutamente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violencia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. … Jesús,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llama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lastRenderedPageBreak/>
        <w:t>reflejarlo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moldear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discípulo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Sígueme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7542B">
        <w:rPr>
          <w:rFonts w:ascii="Times New Roman" w:eastAsia="Times New Roman" w:hAnsi="Times New Roman" w:cs="Times New Roman"/>
          <w:color w:val="000000"/>
        </w:rPr>
        <w:t>, dice Jesús (Mateo 9: 9).</w:t>
      </w:r>
    </w:p>
    <w:p w:rsidR="00C7542B" w:rsidRPr="00C7542B" w:rsidRDefault="00C7542B" w:rsidP="00C7542B">
      <w:pPr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un pueblo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llamado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comprometido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vivir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determinada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forma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modelando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Jesús,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siguiendo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mandamiento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(Juan 13:34).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Hacemos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votos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promesas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enmarcan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patrón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compromiso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vivo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solemne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vivir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Jesús.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exige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creer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poner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confianza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Dios Trinidad, Padre,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Espíritu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Santo,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revelados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Sagradas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Escrituras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Continuando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enseñanza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comunión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apóstoles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partimiento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pan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oraciones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Perseverando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resistir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mal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caemos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pecado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arrepintiéndonos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volviendo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Señor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Proclamando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con palabra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ejemplo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Buena Nueva de Dios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Cristo.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Buscar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servir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Cristo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personas,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amando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prójimo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mismos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Luchando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justicia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paz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entre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las personas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respetando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dignidad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  <w:bookmarkStart w:id="8" w:name="_ednref9"/>
      <w:bookmarkEnd w:id="8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"_edn9"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[9]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Somos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cuerpo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Cristo,</w:t>
      </w:r>
      <w:bookmarkStart w:id="9" w:name="_ednref10"/>
      <w:bookmarkEnd w:id="9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"_edn10"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[10]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  <w:r w:rsidRPr="00C7542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llamados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caminos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Jesús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virtud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bautismo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Hace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tiempo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Dios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nuestros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antepasados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​​de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muchas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diversas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formas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profetas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pero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estos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últimos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días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ha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hablado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 un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quien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nombró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heredero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medio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cual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también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creó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mundos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gloria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 y la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huella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exacta del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mismo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de Dios, y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sostiene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todas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cosas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>poderosa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</w:rPr>
        <w:t xml:space="preserve"> palabra.</w:t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Escuche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palabras,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cante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himno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…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Siga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la persona Jesús. Deja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reflejo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divino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santifique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brille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través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… y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vive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vive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Descubre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llegar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verdaderamente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llamado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 Jesús,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hermano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</w:rPr>
        <w:t>hermana</w:t>
      </w:r>
      <w:proofErr w:type="spellEnd"/>
      <w:r w:rsidRPr="00C7542B">
        <w:rPr>
          <w:rFonts w:ascii="Times New Roman" w:eastAsia="Times New Roman" w:hAnsi="Times New Roman" w:cs="Times New Roman"/>
          <w:color w:val="000000"/>
        </w:rPr>
        <w:t>.</w:t>
      </w:r>
      <w:bookmarkStart w:id="10" w:name="_ednref11"/>
      <w:bookmarkEnd w:id="10"/>
      <w:r w:rsidRPr="00C754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C7542B">
        <w:rPr>
          <w:rFonts w:ascii="Times New Roman" w:eastAsia="Times New Roman" w:hAnsi="Times New Roman" w:cs="Times New Roman"/>
          <w:color w:val="000000"/>
        </w:rPr>
        <w:instrText xml:space="preserve"> HYPERLINK "https://translate.googleusercontent.com/translate_f" \l "_edn11" </w:instrText>
      </w:r>
      <w:r w:rsidRPr="00C754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7542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[11]</w:t>
      </w:r>
      <w:r w:rsidRPr="00C7542B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7542B" w:rsidRPr="00C7542B" w:rsidRDefault="00C7542B" w:rsidP="00C7542B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> </w:t>
      </w:r>
    </w:p>
    <w:p w:rsidR="00C7542B" w:rsidRPr="00C7542B" w:rsidRDefault="00C7542B" w:rsidP="00C7542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>1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</w:rPr>
      </w:pPr>
      <w:r w:rsidRPr="00C7542B">
        <w:rPr>
          <w:rFonts w:ascii="Times New Roman" w:eastAsia="Times New Roman" w:hAnsi="Times New Roman" w:cs="Times New Roman"/>
          <w:color w:val="000000"/>
        </w:rPr>
        <w:t> </w:t>
      </w:r>
    </w:p>
    <w:p w:rsidR="00C7542B" w:rsidRPr="00C7542B" w:rsidRDefault="005F6FFC" w:rsidP="00C7542B">
      <w:pPr>
        <w:rPr>
          <w:rFonts w:ascii="Times New Roman" w:eastAsia="Times New Roman" w:hAnsi="Times New Roman" w:cs="Times New Roman"/>
        </w:rPr>
      </w:pPr>
      <w:r w:rsidRPr="00C7542B">
        <w:rPr>
          <w:rFonts w:ascii="Times New Roman" w:eastAsia="Times New Roman" w:hAnsi="Times New Roman" w:cs="Times New Roman"/>
          <w:noProof/>
        </w:rPr>
        <w:pict>
          <v:rect id="_x0000_i1025" alt="" style="width:323pt;height:.75pt;mso-width-percent:0;mso-height-percent:0;mso-width-percent:0;mso-height-percent:0" o:hrpct="0" o:hrstd="t" o:hrnoshade="t" o:hr="t" fillcolor="black" stroked="f"/>
        </w:pic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anchor="_ednref1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[1]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 De </w:t>
      </w: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Koester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 cit.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anchor="_ednref2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[2]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Kittredge, Cynthia Brigg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Introducción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carta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La Nueva Biblia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Anotada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Oxford - Nueva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Versión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Estándar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Revisada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Cuarta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Edición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Completamente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Revisada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 - </w:t>
      </w: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Michael D. Coogan, Editor - (Oxford / Nueva York: Oxford University Press, 2010)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pág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. 2103.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anchor="_ednref3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[3]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deSilva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David A. ““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Comentario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1: 1-4; 2: 5 - 12 ”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 sitio web de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Working Preacher </w:t>
      </w: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para el 3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octubre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 que se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encuentra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 </w:t>
      </w:r>
      <w:hyperlink r:id="rId7" w:history="1">
        <w:r w:rsidRPr="00C754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https://www.workingpreacher.org/commentaries/revised-common-lectionary/ordinary-27-2/commentary-on-hebrews-11-4 -25-12-5</w:t>
        </w:r>
      </w:hyperlink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anchor="_ednref4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[4]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Ibíd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anchor="_ednref5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[5]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Ibíd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anchor="_ednref6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[6]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Ellsberg, Robert 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Bendecido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entre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nosotros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testigos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santos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(Collegeville, MN: The Liturgical Press, 2016) p. 567 -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edición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Kindle.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anchor="_ednref7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[7]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Ratzinger, Joseph Cardinal - “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Introducción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a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, Romano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Lord </w:t>
      </w: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tr. Elinor C. Briefs (Washington, DC, Regnery Publishing, 1954). P. 2 -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Ubicación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Kindle 120)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anchor="_ednref8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[8]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Guardini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, Romano </w:t>
      </w:r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El </w:t>
      </w:r>
      <w:proofErr w:type="spellStart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Señor</w:t>
      </w:r>
      <w:proofErr w:type="spellEnd"/>
      <w:r w:rsidRPr="00C75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tr. Elinor Brief (Washington, DC: Regnery Publishing, 1954)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pág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263 -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edición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Kindle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anchor="_ednref9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[9]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Libro de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oración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común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(1979)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págs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. 304-305.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4" w:anchor="_ednref10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[10]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Ver 1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Corintios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Corintios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12:27</w:t>
      </w:r>
    </w:p>
    <w:p w:rsidR="00C7542B" w:rsidRPr="00C7542B" w:rsidRDefault="00C7542B" w:rsidP="00C754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anchor="_ednref11" w:history="1">
        <w:r w:rsidRPr="00C7542B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</w:rPr>
          <w:t>[11]</w:t>
        </w:r>
      </w:hyperlink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>Hebreos</w:t>
      </w:r>
      <w:proofErr w:type="spellEnd"/>
      <w:r w:rsidRPr="00C75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2:11.</w:t>
      </w:r>
    </w:p>
    <w:p w:rsidR="00DB47C5" w:rsidRDefault="005F6FFC">
      <w:bookmarkStart w:id="11" w:name="_GoBack"/>
      <w:bookmarkEnd w:id="11"/>
    </w:p>
    <w:sectPr w:rsidR="00DB47C5" w:rsidSect="008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B"/>
    <w:rsid w:val="0039622B"/>
    <w:rsid w:val="00597E1C"/>
    <w:rsid w:val="005F6FFC"/>
    <w:rsid w:val="0089031C"/>
    <w:rsid w:val="009359A5"/>
    <w:rsid w:val="009B286C"/>
    <w:rsid w:val="00A31999"/>
    <w:rsid w:val="00A35A9C"/>
    <w:rsid w:val="00AD2092"/>
    <w:rsid w:val="00C7542B"/>
    <w:rsid w:val="00D25078"/>
    <w:rsid w:val="00ED3BB4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4DF88-D816-3946-AA14-06C0829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4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f" TargetMode="External"/><Relationship Id="rId13" Type="http://schemas.openxmlformats.org/officeDocument/2006/relationships/hyperlink" Target="https://translate.googleusercontent.com/translate_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en&amp;tl=es&amp;u=https://www.workingpreacher.org/commentaries/revised-common-lectionary/ordinary-27-2/commentary-on-hebrews-11-4-25-12-5" TargetMode="Externa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anslate.googleusercontent.com/translate_f" TargetMode="External"/><Relationship Id="rId11" Type="http://schemas.openxmlformats.org/officeDocument/2006/relationships/hyperlink" Target="https://translate.googleusercontent.com/translate_f" TargetMode="External"/><Relationship Id="rId5" Type="http://schemas.openxmlformats.org/officeDocument/2006/relationships/hyperlink" Target="https://translate.googleusercontent.com/translate_f" TargetMode="External"/><Relationship Id="rId15" Type="http://schemas.openxmlformats.org/officeDocument/2006/relationships/hyperlink" Target="https://translate.googleusercontent.com/translate_f" TargetMode="External"/><Relationship Id="rId10" Type="http://schemas.openxmlformats.org/officeDocument/2006/relationships/hyperlink" Target="https://translate.googleusercontent.com/translate_f" TargetMode="External"/><Relationship Id="rId4" Type="http://schemas.openxmlformats.org/officeDocument/2006/relationships/hyperlink" Target="https://translate.googleusercontent.com/translate_f" TargetMode="External"/><Relationship Id="rId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Welch</dc:creator>
  <cp:keywords/>
  <dc:description/>
  <cp:lastModifiedBy>Steve Welch</cp:lastModifiedBy>
  <cp:revision>1</cp:revision>
  <dcterms:created xsi:type="dcterms:W3CDTF">2021-10-03T12:27:00Z</dcterms:created>
  <dcterms:modified xsi:type="dcterms:W3CDTF">2021-10-03T12:28:00Z</dcterms:modified>
</cp:coreProperties>
</file>